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DF52" w14:textId="77777777" w:rsidR="00AE41A3" w:rsidRDefault="00AE41A3" w:rsidP="00AE41A3">
      <w:pPr>
        <w:spacing w:line="600" w:lineRule="exact"/>
        <w:ind w:firstLine="88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成都市</w:t>
      </w:r>
      <w:r>
        <w:rPr>
          <w:rFonts w:ascii="Times New Roman" w:eastAsia="方正小标宋_GBK" w:hAnsi="Times New Roman" w:hint="eastAsia"/>
          <w:sz w:val="44"/>
          <w:szCs w:val="44"/>
        </w:rPr>
        <w:t>关于支持企业北京证券交易所</w:t>
      </w:r>
    </w:p>
    <w:p w14:paraId="359B2F05" w14:textId="77777777" w:rsidR="00AE41A3" w:rsidRDefault="00AE41A3" w:rsidP="00AE41A3">
      <w:pPr>
        <w:spacing w:line="600" w:lineRule="exact"/>
        <w:ind w:firstLine="88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上市的若干扶持政策</w:t>
      </w:r>
    </w:p>
    <w:p w14:paraId="1D67B1AE" w14:textId="4EDA2E55" w:rsidR="00AE41A3" w:rsidRDefault="00AE41A3" w:rsidP="00AE41A3">
      <w:pPr>
        <w:tabs>
          <w:tab w:val="left" w:pos="1050"/>
        </w:tabs>
        <w:spacing w:line="600" w:lineRule="exact"/>
        <w:ind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</w:t>
      </w:r>
      <w:r w:rsidR="00C47441">
        <w:rPr>
          <w:rFonts w:ascii="Times New Roman" w:eastAsia="方正楷体_GBK" w:hAnsi="Times New Roman" w:hint="eastAsia"/>
          <w:sz w:val="32"/>
          <w:szCs w:val="32"/>
        </w:rPr>
        <w:t>征求意见</w:t>
      </w:r>
      <w:r>
        <w:rPr>
          <w:rFonts w:ascii="Times New Roman" w:eastAsia="方正楷体_GBK" w:hAnsi="Times New Roman"/>
          <w:sz w:val="32"/>
          <w:szCs w:val="32"/>
        </w:rPr>
        <w:t>稿）</w:t>
      </w:r>
    </w:p>
    <w:p w14:paraId="2E18120A" w14:textId="77777777" w:rsidR="00AE41A3" w:rsidRDefault="00AE41A3" w:rsidP="00AE41A3">
      <w:pPr>
        <w:spacing w:line="640" w:lineRule="exact"/>
        <w:ind w:firstLine="422"/>
        <w:rPr>
          <w:rFonts w:ascii="Times New Roman" w:eastAsia="方正小标宋简体" w:hAnsi="Times New Roman"/>
          <w:b/>
          <w:bCs/>
          <w:color w:val="000000"/>
          <w:szCs w:val="21"/>
        </w:rPr>
      </w:pPr>
    </w:p>
    <w:p w14:paraId="6C78DB74" w14:textId="77777777" w:rsidR="00AE41A3" w:rsidRDefault="00AE41A3" w:rsidP="00AE41A3">
      <w:pPr>
        <w:spacing w:line="6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为贯彻落实党中央国务院关于资本市场全面深化改革的重大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决策</w:t>
      </w:r>
      <w:r>
        <w:rPr>
          <w:rFonts w:ascii="Times New Roman" w:eastAsia="方正仿宋_GBK" w:hAnsi="Times New Roman"/>
          <w:color w:val="000000"/>
          <w:sz w:val="32"/>
          <w:szCs w:val="32"/>
        </w:rPr>
        <w:t>部署，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积极</w:t>
      </w:r>
      <w:r>
        <w:rPr>
          <w:rFonts w:ascii="Times New Roman" w:eastAsia="方正仿宋_GBK" w:hAnsi="Times New Roman"/>
          <w:color w:val="000000"/>
          <w:sz w:val="32"/>
          <w:szCs w:val="32"/>
        </w:rPr>
        <w:t>抢抓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国家</w:t>
      </w:r>
      <w:r>
        <w:rPr>
          <w:rFonts w:ascii="Times New Roman" w:eastAsia="方正仿宋_GBK" w:hAnsi="Times New Roman"/>
          <w:color w:val="000000"/>
          <w:sz w:val="32"/>
          <w:szCs w:val="32"/>
        </w:rPr>
        <w:t>设立北京证券交易所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（以下简称“北交所”）</w:t>
      </w:r>
      <w:r>
        <w:rPr>
          <w:rFonts w:ascii="Times New Roman" w:eastAsia="方正仿宋_GBK" w:hAnsi="Times New Roman"/>
          <w:color w:val="000000"/>
          <w:sz w:val="32"/>
          <w:szCs w:val="32"/>
        </w:rPr>
        <w:t>的重要机遇，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深入</w:t>
      </w:r>
      <w:r>
        <w:rPr>
          <w:rFonts w:ascii="Times New Roman" w:eastAsia="方正仿宋_GBK" w:hAnsi="Times New Roman"/>
          <w:color w:val="000000"/>
          <w:sz w:val="32"/>
          <w:szCs w:val="32"/>
        </w:rPr>
        <w:t>实施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交子</w:t>
      </w:r>
      <w:r>
        <w:rPr>
          <w:rFonts w:ascii="Times New Roman" w:eastAsia="方正仿宋_GBK" w:hAnsi="Times New Roman"/>
          <w:color w:val="000000"/>
          <w:sz w:val="32"/>
          <w:szCs w:val="32"/>
        </w:rPr>
        <w:t>之星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经济</w:t>
      </w:r>
      <w:r>
        <w:rPr>
          <w:rFonts w:ascii="Times New Roman" w:eastAsia="方正仿宋_GBK" w:hAnsi="Times New Roman"/>
          <w:color w:val="000000"/>
          <w:sz w:val="32"/>
          <w:szCs w:val="32"/>
        </w:rPr>
        <w:t>证券化倍增行动计划，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牢牢坚持服务</w:t>
      </w:r>
      <w:r>
        <w:rPr>
          <w:rFonts w:ascii="Times New Roman" w:eastAsia="方正仿宋_GBK" w:hAnsi="Times New Roman"/>
          <w:color w:val="000000"/>
          <w:sz w:val="32"/>
          <w:szCs w:val="32"/>
        </w:rPr>
        <w:t>创新型中小企业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市场定位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，加快推动我市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专精特新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中小</w:t>
      </w:r>
      <w:r>
        <w:rPr>
          <w:rFonts w:ascii="Times New Roman" w:eastAsia="方正仿宋_GBK" w:hAnsi="Times New Roman"/>
          <w:color w:val="000000"/>
          <w:sz w:val="32"/>
          <w:szCs w:val="32"/>
        </w:rPr>
        <w:t>企业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通过在北交所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上市做优</w:t>
      </w:r>
      <w:r>
        <w:rPr>
          <w:rFonts w:ascii="Times New Roman" w:eastAsia="方正仿宋_GBK" w:hAnsi="Times New Roman"/>
          <w:color w:val="000000"/>
          <w:sz w:val="32"/>
          <w:szCs w:val="32"/>
        </w:rPr>
        <w:t>做大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做强，有效提高我市直接融资比重，助力经济高质量发展，现提出以下政策。</w:t>
      </w:r>
    </w:p>
    <w:p w14:paraId="7387D877" w14:textId="77777777" w:rsidR="00AE41A3" w:rsidRDefault="00AE41A3" w:rsidP="00AE41A3">
      <w:pPr>
        <w:spacing w:line="64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一、挂牌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上市</w:t>
      </w:r>
      <w:r>
        <w:rPr>
          <w:rFonts w:ascii="Times New Roman" w:eastAsia="方正黑体_GBK" w:hAnsi="Times New Roman"/>
          <w:color w:val="000000"/>
          <w:sz w:val="32"/>
          <w:szCs w:val="32"/>
        </w:rPr>
        <w:t>奖励</w:t>
      </w:r>
    </w:p>
    <w:p w14:paraId="3D8839A7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对首次在全国中小企业股份转让系统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（以下</w:t>
      </w:r>
      <w:r>
        <w:rPr>
          <w:rFonts w:ascii="Times New Roman" w:eastAsia="方正仿宋_GBK" w:hAnsi="Times New Roman"/>
          <w:color w:val="000000"/>
          <w:sz w:val="32"/>
          <w:szCs w:val="32"/>
        </w:rPr>
        <w:t>简称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新三板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/>
          <w:color w:val="000000"/>
          <w:sz w:val="32"/>
          <w:szCs w:val="32"/>
        </w:rPr>
        <w:t>挂牌进入基础层的企业给予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万元补助；对符合条件由基础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首次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调整进入创新层的企业给予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万元补助；对首次挂牌进入创新层的企业给予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万元补助。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〔责任单位：市科技局〕</w:t>
      </w:r>
    </w:p>
    <w:p w14:paraId="2E188F37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对在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新三板</w:t>
      </w:r>
      <w:r>
        <w:rPr>
          <w:rFonts w:ascii="Times New Roman" w:eastAsia="方正仿宋_GBK" w:hAnsi="Times New Roman"/>
          <w:color w:val="000000"/>
          <w:sz w:val="32"/>
          <w:szCs w:val="32"/>
        </w:rPr>
        <w:t>连续挂牌满</w:t>
      </w:r>
      <w:r>
        <w:rPr>
          <w:rFonts w:ascii="Times New Roman" w:eastAsia="方正仿宋_GBK" w:hAnsi="Times New Roman"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个月的创新层挂牌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企业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发行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上市申请被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北交所</w:t>
      </w:r>
      <w:r>
        <w:rPr>
          <w:rFonts w:ascii="Times New Roman" w:eastAsia="方正仿宋_GBK" w:hAnsi="Times New Roman"/>
          <w:color w:val="000000"/>
          <w:sz w:val="32"/>
          <w:szCs w:val="32"/>
        </w:rPr>
        <w:t>正式受理的，给予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100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万元奖励。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〔</w:t>
      </w:r>
      <w:r w:rsidRPr="00443C92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责任单位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：市金融监管局〕</w:t>
      </w:r>
    </w:p>
    <w:p w14:paraId="7F3AF8C2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对在北交所</w:t>
      </w:r>
      <w:r>
        <w:rPr>
          <w:rFonts w:ascii="Times New Roman" w:eastAsia="方正仿宋_GBK" w:hAnsi="Times New Roman"/>
          <w:color w:val="000000"/>
          <w:sz w:val="32"/>
          <w:szCs w:val="32"/>
        </w:rPr>
        <w:t>首发上市的企业，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按实际募资净额（扣除发行费用）的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1%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给予最高不超过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350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万元奖励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对新迁入我市的北交所上市公司，一次性给予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350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万元奖励。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〔</w:t>
      </w:r>
      <w:r w:rsidRPr="00443C92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责任单位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：市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lastRenderedPageBreak/>
        <w:t>金融监管局〕</w:t>
      </w:r>
    </w:p>
    <w:p w14:paraId="14662B22" w14:textId="77777777" w:rsidR="00AE41A3" w:rsidRDefault="00AE41A3" w:rsidP="00AE41A3">
      <w:pPr>
        <w:spacing w:line="640" w:lineRule="exact"/>
        <w:ind w:left="42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二、融资支持</w:t>
      </w:r>
    </w:p>
    <w:p w14:paraId="2E91662F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北交所上市公司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通过配股、增发、发行公司债、可转债、中期票据、短期融资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券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区域集优票据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等进行再融资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，按融资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净</w:t>
      </w:r>
      <w:r>
        <w:rPr>
          <w:rFonts w:ascii="Times New Roman" w:eastAsia="方正仿宋_GBK" w:hAnsi="Times New Roman"/>
          <w:color w:val="000000"/>
          <w:sz w:val="32"/>
          <w:szCs w:val="32"/>
        </w:rPr>
        <w:t>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（扣除发行费用）</w:t>
      </w:r>
      <w:r>
        <w:rPr>
          <w:rFonts w:ascii="Times New Roman" w:eastAsia="方正仿宋_GBK" w:hAnsi="Times New Roman"/>
          <w:color w:val="000000"/>
          <w:sz w:val="32"/>
          <w:szCs w:val="32"/>
        </w:rPr>
        <w:t>的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投入成都的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5‰</w:t>
      </w:r>
      <w:r>
        <w:rPr>
          <w:rFonts w:ascii="Times New Roman" w:eastAsia="方正仿宋_GBK" w:hAnsi="Times New Roman"/>
          <w:color w:val="000000"/>
          <w:sz w:val="32"/>
          <w:szCs w:val="32"/>
        </w:rPr>
        <w:t>给予最高不超过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50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万元奖励；对开展并购交易的北交所上市公司，按实际交易额的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5‰</w:t>
      </w:r>
      <w:r>
        <w:rPr>
          <w:rFonts w:ascii="Times New Roman" w:eastAsia="方正仿宋_GBK" w:hAnsi="Times New Roman"/>
          <w:color w:val="000000"/>
          <w:sz w:val="32"/>
          <w:szCs w:val="32"/>
        </w:rPr>
        <w:t>给予最高不超过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50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万元奖励。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〔</w:t>
      </w:r>
      <w:r w:rsidRPr="00443C92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责任单位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：市金融监管局〕</w:t>
      </w:r>
    </w:p>
    <w:p w14:paraId="1B09E0B5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支持种子期、初创期科技型企业争取天使投资企业投资，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对获得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天使投资机构天使投资的挂牌企业，按照实际获得天使投资额的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10%</w:t>
      </w:r>
      <w:r>
        <w:rPr>
          <w:rFonts w:ascii="Times New Roman" w:eastAsia="方正仿宋_GBK" w:hAnsi="Times New Roman"/>
          <w:color w:val="000000"/>
          <w:sz w:val="32"/>
          <w:szCs w:val="32"/>
        </w:rPr>
        <w:t>给予最高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万元的经费资助。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〔</w:t>
      </w:r>
      <w:r w:rsidRPr="00443C92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责任单位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：市科技局〕</w:t>
      </w:r>
    </w:p>
    <w:p w14:paraId="64FE4C1B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创业投资管理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企业对</w:t>
      </w:r>
      <w:r>
        <w:rPr>
          <w:rFonts w:ascii="Times New Roman" w:eastAsia="方正仿宋_GBK" w:hAnsi="Times New Roman"/>
          <w:color w:val="000000"/>
          <w:sz w:val="32"/>
          <w:szCs w:val="32"/>
        </w:rPr>
        <w:t>符合条件的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新三板挂牌</w:t>
      </w:r>
      <w:r>
        <w:rPr>
          <w:rFonts w:ascii="Times New Roman" w:eastAsia="方正仿宋_GBK" w:hAnsi="Times New Roman"/>
          <w:color w:val="000000"/>
          <w:sz w:val="32"/>
          <w:szCs w:val="32"/>
        </w:rPr>
        <w:t>企业进行投资，按照实际到账投资额的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1%</w:t>
      </w:r>
      <w:r>
        <w:rPr>
          <w:rFonts w:ascii="Times New Roman" w:eastAsia="方正仿宋_GBK" w:hAnsi="Times New Roman"/>
          <w:color w:val="000000"/>
          <w:sz w:val="32"/>
          <w:szCs w:val="32"/>
        </w:rPr>
        <w:t>给予创业投资管理企业奖励，每家创业投资管理企业的奖励最高</w:t>
      </w:r>
      <w:r>
        <w:rPr>
          <w:rFonts w:ascii="Times New Roman" w:eastAsia="方正仿宋_GBK" w:hAnsi="Times New Roman"/>
          <w:color w:val="000000"/>
          <w:sz w:val="32"/>
          <w:szCs w:val="32"/>
        </w:rPr>
        <w:t>500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/>
          <w:sz w:val="32"/>
          <w:szCs w:val="32"/>
        </w:rPr>
        <w:t>/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〔</w:t>
      </w:r>
      <w:r w:rsidRPr="00443C92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责任单位：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市科技局〕</w:t>
      </w:r>
    </w:p>
    <w:p w14:paraId="0ABA852C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加大“蓉易贷”“科创贷”“壮大贷”“文创通”等政策性金融产品对符合条件的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创新型中小企业及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专精特新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企业的支持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，创造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融资</w:t>
      </w:r>
      <w:r>
        <w:rPr>
          <w:rFonts w:ascii="Times New Roman" w:eastAsia="方正仿宋_GBK" w:hAnsi="Times New Roman"/>
          <w:color w:val="000000"/>
          <w:sz w:val="32"/>
          <w:szCs w:val="32"/>
        </w:rPr>
        <w:t>绿色通道，降低融资成本。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〔</w:t>
      </w:r>
      <w:r w:rsidRPr="00443C92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责任单位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：市金融监管局、市科技局、市经信局、市委宣传部，各区（市）县政府</w:t>
      </w:r>
      <w:r>
        <w:rPr>
          <w:rFonts w:eastAsia="方正仿宋_GBK" w:hint="eastAsia"/>
          <w:sz w:val="32"/>
          <w:szCs w:val="32"/>
        </w:rPr>
        <w:t>〕</w:t>
      </w:r>
    </w:p>
    <w:p w14:paraId="3093A8E6" w14:textId="77777777" w:rsidR="00AE41A3" w:rsidRDefault="00AE41A3" w:rsidP="00AE41A3">
      <w:pPr>
        <w:spacing w:line="640" w:lineRule="exact"/>
        <w:ind w:left="42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三、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后备</w:t>
      </w:r>
      <w:r>
        <w:rPr>
          <w:rFonts w:ascii="Times New Roman" w:eastAsia="方正黑体_GBK" w:hAnsi="Times New Roman"/>
          <w:color w:val="000000"/>
          <w:sz w:val="32"/>
          <w:szCs w:val="32"/>
        </w:rPr>
        <w:t>企业综合支持</w:t>
      </w:r>
    </w:p>
    <w:p w14:paraId="2BC35713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对获得国家专精特新“小巨人”企业称号的企业，一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次性给予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万元奖励，鼓励专精特新企业积极对接新三板、北交所挂牌上市。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〔</w:t>
      </w:r>
      <w:r w:rsidRPr="00443C92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责任单位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：市经信局〕</w:t>
      </w:r>
    </w:p>
    <w:p w14:paraId="7FF02D5E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支持天府（四川）联合股权交易中心设立“专精特新”专板，培育孵化登陆新三板和北交所。对首次在天府（四川）联合股权交易中心“专精特新”专板挂牌的企业，给予每户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万元奖励。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〔</w:t>
      </w:r>
      <w:r w:rsidRPr="00443C92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责任单位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：市金融监管局〕</w:t>
      </w:r>
    </w:p>
    <w:p w14:paraId="3C097B91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鼓励天府（四川）联合股权交易中心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积极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与北交所共建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北交所</w:t>
      </w:r>
      <w:r>
        <w:rPr>
          <w:rFonts w:ascii="Times New Roman" w:eastAsia="方正仿宋_GBK" w:hAnsi="Times New Roman"/>
          <w:color w:val="000000"/>
          <w:sz w:val="32"/>
          <w:szCs w:val="32"/>
        </w:rPr>
        <w:t>-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区域性股权市场互联互通机制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，充分发挥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四板</w:t>
      </w:r>
      <w:r>
        <w:rPr>
          <w:rFonts w:ascii="Times New Roman" w:eastAsia="方正仿宋_GBK" w:hAnsi="Times New Roman"/>
          <w:color w:val="000000"/>
          <w:sz w:val="32"/>
          <w:szCs w:val="32"/>
        </w:rPr>
        <w:t>市场塔基作用，率先按照北交所上市条件，先期孵化、培育、审查相关项目，推动更多优质中小企业在北交所上市。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〔</w:t>
      </w:r>
      <w:r w:rsidRPr="00443C92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责任单位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：市</w:t>
      </w:r>
      <w:r>
        <w:rPr>
          <w:rFonts w:ascii="方正楷体_GBK" w:eastAsia="方正楷体_GBK" w:hAnsi="方正楷体_GBK" w:cs="方正楷体_GBK"/>
          <w:color w:val="000000"/>
          <w:sz w:val="32"/>
          <w:szCs w:val="32"/>
        </w:rPr>
        <w:t>金融监管局、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天府（四川）联合股权交易中心</w:t>
      </w:r>
      <w:r>
        <w:rPr>
          <w:rFonts w:eastAsia="方正仿宋_GBK" w:hint="eastAsia"/>
          <w:sz w:val="32"/>
          <w:szCs w:val="32"/>
        </w:rPr>
        <w:t>〕</w:t>
      </w:r>
    </w:p>
    <w:p w14:paraId="52D62C70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构建市级</w:t>
      </w:r>
      <w:r>
        <w:rPr>
          <w:rFonts w:ascii="Times New Roman" w:eastAsia="方正仿宋_GBK" w:hAnsi="Times New Roman"/>
          <w:color w:val="000000"/>
          <w:sz w:val="32"/>
          <w:szCs w:val="32"/>
        </w:rPr>
        <w:t>部门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区（市）县联动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动态服务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机制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精准</w:t>
      </w:r>
      <w:r>
        <w:rPr>
          <w:rFonts w:ascii="Times New Roman" w:eastAsia="方正仿宋_GBK" w:hAnsi="Times New Roman"/>
          <w:color w:val="000000"/>
          <w:sz w:val="32"/>
          <w:szCs w:val="32"/>
        </w:rPr>
        <w:t>扶持一批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专精特新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中小</w:t>
      </w:r>
      <w:r>
        <w:rPr>
          <w:rFonts w:ascii="Times New Roman" w:eastAsia="方正仿宋_GBK" w:hAnsi="Times New Roman"/>
          <w:color w:val="000000"/>
          <w:sz w:val="32"/>
          <w:szCs w:val="32"/>
        </w:rPr>
        <w:t>企业做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强做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优，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精细化完善新三板挂牌和北交所拟上市企业后备资源库，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定期梳理北交所上市公司、新三板挂牌企业问题和责任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清单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〔</w:t>
      </w:r>
      <w:r w:rsidRPr="00443C92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责任单位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：市金融监管局、市经信局，有关市级部门，各区（市）县政府</w:t>
      </w:r>
      <w:r>
        <w:rPr>
          <w:rFonts w:eastAsia="方正仿宋_GBK" w:hint="eastAsia"/>
          <w:sz w:val="32"/>
          <w:szCs w:val="32"/>
        </w:rPr>
        <w:t>〕</w:t>
      </w:r>
    </w:p>
    <w:p w14:paraId="7D739874" w14:textId="77777777" w:rsidR="00AE41A3" w:rsidRDefault="00AE41A3" w:rsidP="00AE41A3">
      <w:pPr>
        <w:numPr>
          <w:ilvl w:val="0"/>
          <w:numId w:val="1"/>
        </w:numPr>
        <w:spacing w:line="64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建立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健全</w:t>
      </w:r>
      <w:r>
        <w:rPr>
          <w:rFonts w:ascii="Times New Roman" w:eastAsia="方正仿宋_GBK" w:hAnsi="Times New Roman"/>
          <w:color w:val="000000"/>
          <w:sz w:val="32"/>
          <w:szCs w:val="32"/>
        </w:rPr>
        <w:t>资源要素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市场化</w:t>
      </w:r>
      <w:r>
        <w:rPr>
          <w:rFonts w:ascii="Times New Roman" w:eastAsia="方正仿宋_GBK" w:hAnsi="Times New Roman"/>
          <w:color w:val="000000"/>
          <w:sz w:val="32"/>
          <w:szCs w:val="32"/>
        </w:rPr>
        <w:t>配置机制，建立拟上市企业历史沿革等相关事项审查确认工作机制，高效率协调解决拟上市企业存在的历史沿革、土地、环保、税收、社保、公积金等问题；需市政府协调解决的事项，定期提交推进国家西部金融中心建设联席会议审议。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〔</w:t>
      </w:r>
      <w:r w:rsidRPr="00443C92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责任单位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：市金融监管局，有关市级部门，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lastRenderedPageBreak/>
        <w:t>各区（市）县政府</w:t>
      </w:r>
      <w:r>
        <w:rPr>
          <w:rFonts w:eastAsia="方正仿宋_GBK" w:hint="eastAsia"/>
          <w:sz w:val="32"/>
          <w:szCs w:val="32"/>
        </w:rPr>
        <w:t>〕</w:t>
      </w:r>
    </w:p>
    <w:p w14:paraId="56AC9D30" w14:textId="77777777" w:rsidR="00AE41A3" w:rsidRDefault="00AE41A3" w:rsidP="00AE41A3">
      <w:pPr>
        <w:spacing w:line="6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本政策由市金融监管局负责解释，具体实施细则由市金融监管局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商相关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部门制订。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本政策支持对象为注册地址和税收缴纳关系在我市的企业。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已享受我市同类奖励政策的，不再重复享受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。上市公司</w:t>
      </w:r>
      <w:r>
        <w:rPr>
          <w:rFonts w:ascii="Times New Roman" w:eastAsia="方正仿宋_GBK" w:hAnsi="Times New Roman"/>
          <w:color w:val="000000"/>
          <w:sz w:val="32"/>
          <w:szCs w:val="32"/>
        </w:rPr>
        <w:t>分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拆子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公司在北交所上市的可享受本政策。</w:t>
      </w:r>
    </w:p>
    <w:p w14:paraId="37172ECD" w14:textId="77777777" w:rsidR="00AE41A3" w:rsidRDefault="00AE41A3" w:rsidP="00AE41A3">
      <w:pPr>
        <w:spacing w:line="6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本政策由印发之日起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日后实施，有效期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年。</w:t>
      </w:r>
    </w:p>
    <w:p w14:paraId="0F6B4BB0" w14:textId="77777777" w:rsidR="00AE41A3" w:rsidRDefault="00AE41A3" w:rsidP="00AE41A3">
      <w:pPr>
        <w:ind w:firstLine="640"/>
      </w:pPr>
    </w:p>
    <w:p w14:paraId="224350EB" w14:textId="77777777" w:rsidR="00AE41A3" w:rsidRDefault="00AE41A3" w:rsidP="00AE41A3">
      <w:pPr>
        <w:ind w:firstLine="640"/>
      </w:pPr>
    </w:p>
    <w:p w14:paraId="5DCA020B" w14:textId="77777777" w:rsidR="006403F0" w:rsidRPr="00AE41A3" w:rsidRDefault="006403F0">
      <w:pPr>
        <w:ind w:firstLine="640"/>
      </w:pPr>
    </w:p>
    <w:sectPr w:rsidR="006403F0" w:rsidRPr="00AE41A3" w:rsidSect="00D4684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8775" w14:textId="77777777" w:rsidR="00BC1F5B" w:rsidRDefault="00BC1F5B" w:rsidP="00AE41A3">
      <w:pPr>
        <w:ind w:firstLine="640"/>
      </w:pPr>
      <w:r>
        <w:separator/>
      </w:r>
    </w:p>
  </w:endnote>
  <w:endnote w:type="continuationSeparator" w:id="0">
    <w:p w14:paraId="26C2F296" w14:textId="77777777" w:rsidR="00BC1F5B" w:rsidRDefault="00BC1F5B" w:rsidP="00AE41A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E1CB" w14:textId="77777777" w:rsidR="00AE41A3" w:rsidRDefault="00AE41A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00FD" w14:textId="77777777" w:rsidR="00AE41A3" w:rsidRDefault="00AE41A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6004" w14:textId="77777777" w:rsidR="00AE41A3" w:rsidRDefault="00AE41A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8A24" w14:textId="77777777" w:rsidR="00BC1F5B" w:rsidRDefault="00BC1F5B" w:rsidP="00AE41A3">
      <w:pPr>
        <w:ind w:firstLine="640"/>
      </w:pPr>
      <w:r>
        <w:separator/>
      </w:r>
    </w:p>
  </w:footnote>
  <w:footnote w:type="continuationSeparator" w:id="0">
    <w:p w14:paraId="1494B0F3" w14:textId="77777777" w:rsidR="00BC1F5B" w:rsidRDefault="00BC1F5B" w:rsidP="00AE41A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B4C5" w14:textId="77777777" w:rsidR="00AE41A3" w:rsidRDefault="00AE41A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00B8" w14:textId="77777777" w:rsidR="00AE41A3" w:rsidRDefault="00AE41A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FF465F"/>
    <w:multiLevelType w:val="singleLevel"/>
    <w:tmpl w:val="AEFF465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EC"/>
    <w:rsid w:val="002412E6"/>
    <w:rsid w:val="003537FA"/>
    <w:rsid w:val="00443C92"/>
    <w:rsid w:val="006403F0"/>
    <w:rsid w:val="008A672F"/>
    <w:rsid w:val="00AE41A3"/>
    <w:rsid w:val="00BC1F5B"/>
    <w:rsid w:val="00BC5EEC"/>
    <w:rsid w:val="00C47441"/>
    <w:rsid w:val="00D46843"/>
    <w:rsid w:val="00D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7722F"/>
  <w15:chartTrackingRefBased/>
  <w15:docId w15:val="{A9E536D7-C1FA-492B-828D-8F00842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E41A3"/>
    <w:pPr>
      <w:widowControl w:val="0"/>
      <w:suppressAutoHyphens/>
      <w:jc w:val="both"/>
    </w:pPr>
    <w:rPr>
      <w:rFonts w:ascii="Calibri" w:eastAsia="宋体" w:hAnsi="Calibri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12E6"/>
    <w:pPr>
      <w:keepNext/>
      <w:keepLines/>
      <w:spacing w:before="340" w:after="330"/>
      <w:jc w:val="center"/>
      <w:outlineLvl w:val="0"/>
    </w:pPr>
    <w:rPr>
      <w:rFonts w:eastAsiaTheme="minorEastAsi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2412E6"/>
    <w:pPr>
      <w:keepNext/>
      <w:keepLines/>
      <w:spacing w:before="260" w:after="260"/>
      <w:outlineLvl w:val="1"/>
    </w:pPr>
    <w:rPr>
      <w:rFonts w:asciiTheme="majorHAnsi" w:eastAsia="方正黑体_GBK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qFormat/>
    <w:rsid w:val="002412E6"/>
    <w:pPr>
      <w:keepNext/>
      <w:keepLines/>
      <w:spacing w:before="260" w:after="260" w:line="416" w:lineRule="atLeast"/>
      <w:outlineLvl w:val="2"/>
    </w:pPr>
    <w:rPr>
      <w:rFonts w:eastAsia="方正楷体_GBK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2E6"/>
    <w:rPr>
      <w:rFonts w:eastAsiaTheme="minorEastAsia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412E6"/>
    <w:rPr>
      <w:rFonts w:asciiTheme="majorHAnsi" w:eastAsia="方正黑体_GBK" w:hAnsiTheme="majorHAnsi" w:cstheme="majorBidi"/>
      <w:b/>
      <w:bCs/>
    </w:rPr>
  </w:style>
  <w:style w:type="character" w:customStyle="1" w:styleId="30">
    <w:name w:val="标题 3 字符"/>
    <w:basedOn w:val="a0"/>
    <w:link w:val="3"/>
    <w:uiPriority w:val="9"/>
    <w:rsid w:val="002412E6"/>
    <w:rPr>
      <w:rFonts w:eastAsia="方正楷体_GBK"/>
      <w:b/>
      <w:bCs/>
    </w:rPr>
  </w:style>
  <w:style w:type="paragraph" w:styleId="a3">
    <w:name w:val="header"/>
    <w:basedOn w:val="a"/>
    <w:link w:val="a4"/>
    <w:uiPriority w:val="99"/>
    <w:unhideWhenUsed/>
    <w:rsid w:val="00AE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41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1A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4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排版">
      <a:majorFont>
        <a:latin typeface="Times New Roman"/>
        <a:ea typeface="方正小标宋_GBK"/>
        <a:cs typeface=""/>
      </a:majorFont>
      <a:minorFont>
        <a:latin typeface="Times New Roman"/>
        <a:ea typeface="方正仿宋_GBK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sunnie</dc:creator>
  <cp:keywords/>
  <dc:description/>
  <cp:lastModifiedBy>sunnie</cp:lastModifiedBy>
  <cp:revision>4</cp:revision>
  <dcterms:created xsi:type="dcterms:W3CDTF">2021-10-28T07:34:00Z</dcterms:created>
  <dcterms:modified xsi:type="dcterms:W3CDTF">2021-10-28T07:39:00Z</dcterms:modified>
</cp:coreProperties>
</file>